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B47" w:rsidRPr="00D017DD" w:rsidRDefault="003E0AC3" w:rsidP="00D9603D">
      <w:pPr>
        <w:pStyle w:val="Title"/>
        <w:rPr>
          <w:lang w:val="fr-BE"/>
        </w:rPr>
      </w:pPr>
      <w:bookmarkStart w:id="0" w:name="_GoBack"/>
      <w:bookmarkEnd w:id="0"/>
      <w:r>
        <w:rPr>
          <w:lang w:val="fr-BE"/>
        </w:rPr>
        <w:t xml:space="preserve">L'UE dans le secteur </w:t>
      </w:r>
      <w:r w:rsidR="00D017DD" w:rsidRPr="00D017DD">
        <w:rPr>
          <w:lang w:val="fr-BE"/>
        </w:rPr>
        <w:t>santé</w:t>
      </w:r>
      <w:r>
        <w:rPr>
          <w:lang w:val="fr-BE"/>
        </w:rPr>
        <w:t xml:space="preserve"> au Burkina Faso</w:t>
      </w:r>
    </w:p>
    <w:p w:rsidR="003E0AC3" w:rsidRPr="003B3EC9" w:rsidRDefault="003E0AC3" w:rsidP="00D9603D">
      <w:pPr>
        <w:pStyle w:val="Heading1"/>
        <w:rPr>
          <w:lang w:val="fr-BE"/>
        </w:rPr>
      </w:pPr>
      <w:r w:rsidRPr="003B3EC9">
        <w:rPr>
          <w:lang w:val="fr-BE"/>
        </w:rPr>
        <w:t xml:space="preserve">1. L'UE </w:t>
      </w:r>
      <w:r w:rsidR="00D9603D">
        <w:rPr>
          <w:lang w:val="fr-BE"/>
        </w:rPr>
        <w:t>rejoint</w:t>
      </w:r>
      <w:r w:rsidRPr="003B3EC9">
        <w:rPr>
          <w:lang w:val="fr-BE"/>
        </w:rPr>
        <w:t xml:space="preserve"> le secteur de la santé en 2013</w:t>
      </w:r>
    </w:p>
    <w:p w:rsidR="00D017DD" w:rsidRDefault="003B3EC9" w:rsidP="0005335A">
      <w:pPr>
        <w:jc w:val="both"/>
        <w:rPr>
          <w:lang w:val="fr-BE"/>
        </w:rPr>
      </w:pPr>
      <w:r>
        <w:rPr>
          <w:noProof/>
          <w:lang w:eastAsia="en-GB"/>
        </w:rPr>
        <w:drawing>
          <wp:anchor distT="0" distB="0" distL="114300" distR="114300" simplePos="0" relativeHeight="251661312" behindDoc="1" locked="0" layoutInCell="1" allowOverlap="1" wp14:anchorId="18C8B7A1" wp14:editId="67394A9E">
            <wp:simplePos x="0" y="0"/>
            <wp:positionH relativeFrom="column">
              <wp:posOffset>2680970</wp:posOffset>
            </wp:positionH>
            <wp:positionV relativeFrom="paragraph">
              <wp:posOffset>1007745</wp:posOffset>
            </wp:positionV>
            <wp:extent cx="3102610" cy="2051685"/>
            <wp:effectExtent l="0" t="0" r="2540" b="5715"/>
            <wp:wrapThrough wrapText="left">
              <wp:wrapPolygon edited="0">
                <wp:start x="0" y="0"/>
                <wp:lineTo x="0" y="21460"/>
                <wp:lineTo x="21485" y="21460"/>
                <wp:lineTo x="21485" y="0"/>
                <wp:lineTo x="0" y="0"/>
              </wp:wrapPolygon>
            </wp:wrapThrough>
            <wp:docPr id="34" name="Picture 34" descr="Y:\ECO\5.05.02.030.030 - Santé\010 Projets\visibilité\bebe-pese4-pf_co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Y:\ECO\5.05.02.030.030 - Santé\010 Projets\visibilité\bebe-pese4-pf_corr.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02610" cy="2051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5335A">
        <w:rPr>
          <w:lang w:val="fr-BE"/>
        </w:rPr>
        <w:t xml:space="preserve">La </w:t>
      </w:r>
      <w:r w:rsidR="00D9603D">
        <w:rPr>
          <w:lang w:val="fr-BE"/>
        </w:rPr>
        <w:t>coopération européenne</w:t>
      </w:r>
      <w:r w:rsidR="0005335A">
        <w:rPr>
          <w:lang w:val="fr-BE"/>
        </w:rPr>
        <w:t xml:space="preserve"> dans le secteur santé </w:t>
      </w:r>
      <w:r w:rsidR="00D9603D">
        <w:rPr>
          <w:lang w:val="fr-BE"/>
        </w:rPr>
        <w:t xml:space="preserve">remonte au </w:t>
      </w:r>
      <w:r w:rsidR="0005335A">
        <w:rPr>
          <w:lang w:val="fr-BE"/>
        </w:rPr>
        <w:t>10</w:t>
      </w:r>
      <w:r w:rsidR="0005335A" w:rsidRPr="0005335A">
        <w:rPr>
          <w:vertAlign w:val="superscript"/>
          <w:lang w:val="fr-BE"/>
        </w:rPr>
        <w:t>ième</w:t>
      </w:r>
      <w:r w:rsidR="0005335A">
        <w:rPr>
          <w:lang w:val="fr-BE"/>
        </w:rPr>
        <w:t xml:space="preserve"> FED à partir octobre 2013</w:t>
      </w:r>
      <w:r w:rsidR="00D9603D">
        <w:rPr>
          <w:lang w:val="fr-BE"/>
        </w:rPr>
        <w:t>,</w:t>
      </w:r>
      <w:r w:rsidR="0005335A">
        <w:rPr>
          <w:lang w:val="fr-BE"/>
        </w:rPr>
        <w:t xml:space="preserve"> avec le Programme d'appui à la politique sectorielle santé. Ce programme comportait un appui budgétaire sectoriel</w:t>
      </w:r>
      <w:r w:rsidR="003E0AC3">
        <w:rPr>
          <w:lang w:val="fr-BE"/>
        </w:rPr>
        <w:t xml:space="preserve"> axé</w:t>
      </w:r>
      <w:r w:rsidR="0005335A">
        <w:rPr>
          <w:lang w:val="fr-BE"/>
        </w:rPr>
        <w:t xml:space="preserve"> sur des performances dans les domaines de la santé maternelle et infantile et la gestion financière du secteur. </w:t>
      </w:r>
      <w:r w:rsidR="00D9603D">
        <w:rPr>
          <w:lang w:val="fr-BE"/>
        </w:rPr>
        <w:t xml:space="preserve">Cet appui budgétaire était accompagné d'un </w:t>
      </w:r>
      <w:r w:rsidR="0005335A">
        <w:rPr>
          <w:lang w:val="fr-BE"/>
        </w:rPr>
        <w:t xml:space="preserve">appui complémentaire </w:t>
      </w:r>
      <w:r w:rsidR="003E0AC3">
        <w:rPr>
          <w:lang w:val="fr-BE"/>
        </w:rPr>
        <w:t xml:space="preserve">autour de la gestion des ressources humaines, la gestion financière du secteur, l'inspection technique, la planification et l'information sanitaire. </w:t>
      </w:r>
      <w:r w:rsidR="000343D2">
        <w:rPr>
          <w:lang w:val="fr-BE"/>
        </w:rPr>
        <w:t>Parmi les appuis complémentaires ont été mises en œuvre des activités relatives</w:t>
      </w:r>
      <w:r w:rsidR="003E0AC3">
        <w:rPr>
          <w:lang w:val="fr-BE"/>
        </w:rPr>
        <w:t xml:space="preserve"> la continuité de la gratuité des soins des enfants de 0-5 ans et des femmes enceintes dans </w:t>
      </w:r>
      <w:r w:rsidR="000343D2">
        <w:rPr>
          <w:lang w:val="fr-BE"/>
        </w:rPr>
        <w:t xml:space="preserve">deux districts sanitaires. Egalement, en 2015, un soutien au </w:t>
      </w:r>
      <w:r w:rsidR="003E0AC3">
        <w:rPr>
          <w:lang w:val="fr-BE"/>
        </w:rPr>
        <w:t>plan de prépar</w:t>
      </w:r>
      <w:r w:rsidR="00820C11">
        <w:rPr>
          <w:lang w:val="fr-BE"/>
        </w:rPr>
        <w:t>ation du pays</w:t>
      </w:r>
      <w:r w:rsidR="003E0AC3">
        <w:rPr>
          <w:lang w:val="fr-BE"/>
        </w:rPr>
        <w:t xml:space="preserve"> à une éventuelle épidémie de la maladie à virus Ebola</w:t>
      </w:r>
      <w:r w:rsidR="000343D2">
        <w:rPr>
          <w:lang w:val="fr-BE"/>
        </w:rPr>
        <w:t xml:space="preserve"> a été apporté, </w:t>
      </w:r>
      <w:r w:rsidR="003E0AC3">
        <w:rPr>
          <w:lang w:val="fr-BE"/>
        </w:rPr>
        <w:t xml:space="preserve">et notamment de mettre en place un laboratoire mobile de niveau P3. </w:t>
      </w:r>
      <w:r w:rsidR="006E1F42">
        <w:rPr>
          <w:lang w:val="fr-BE"/>
        </w:rPr>
        <w:t>La Délégation est par ailleurs membre du Conseil d'administration de la Centrale d'Achat des Médicaments Essentiels (CAMEG).</w:t>
      </w:r>
    </w:p>
    <w:p w:rsidR="0071071A" w:rsidRPr="003B3EC9" w:rsidRDefault="0071071A" w:rsidP="00D9603D">
      <w:pPr>
        <w:pStyle w:val="Heading1"/>
        <w:rPr>
          <w:lang w:val="fr-BE"/>
        </w:rPr>
      </w:pPr>
      <w:r w:rsidRPr="003B3EC9">
        <w:rPr>
          <w:lang w:val="fr-BE"/>
        </w:rPr>
        <w:t xml:space="preserve">2. </w:t>
      </w:r>
      <w:r w:rsidR="00D9603D">
        <w:rPr>
          <w:lang w:val="fr-BE"/>
        </w:rPr>
        <w:t xml:space="preserve">Le PAPS II : </w:t>
      </w:r>
      <w:r w:rsidR="00820C11" w:rsidRPr="003B3EC9">
        <w:rPr>
          <w:lang w:val="fr-BE"/>
        </w:rPr>
        <w:t>Vers un soutien structuré aux progrès vers la couverture sanitaire universelle</w:t>
      </w:r>
    </w:p>
    <w:p w:rsidR="00D9603D" w:rsidRDefault="00D9603D" w:rsidP="0005335A">
      <w:pPr>
        <w:jc w:val="both"/>
        <w:rPr>
          <w:lang w:val="fr-BE"/>
        </w:rPr>
      </w:pPr>
      <w:r>
        <w:rPr>
          <w:lang w:val="fr-BE"/>
        </w:rPr>
        <w:t>À partir de 2016, a</w:t>
      </w:r>
      <w:r w:rsidR="00820C11">
        <w:rPr>
          <w:lang w:val="fr-BE"/>
        </w:rPr>
        <w:t xml:space="preserve">vec la formulation du programme d'appui à la politique sectorielle santé 2, un nombre de goulots d'étranglement dans l'extension de l'accès physique et financier aux soins sont adressés. </w:t>
      </w:r>
      <w:r>
        <w:rPr>
          <w:lang w:val="fr-BE"/>
        </w:rPr>
        <w:t>C'est ainsi qu'un nouveau programme d</w:t>
      </w:r>
      <w:r w:rsidR="00223690">
        <w:rPr>
          <w:lang w:val="fr-BE"/>
        </w:rPr>
        <w:t>'appui budgétaire sectoriel</w:t>
      </w:r>
      <w:r>
        <w:rPr>
          <w:lang w:val="fr-BE"/>
        </w:rPr>
        <w:t xml:space="preserve"> a été signé en octobre 2016, pour un montant total de 84 millions EUR. Ce programme intervient en soutien aux réformes de la politique nationale de santé. Trois grands blocs de réforme sont identifiés à travers les indicateurs de tranche variable : </w:t>
      </w:r>
    </w:p>
    <w:p w:rsidR="006048FE" w:rsidRDefault="00D9603D" w:rsidP="0005335A">
      <w:pPr>
        <w:jc w:val="both"/>
        <w:rPr>
          <w:lang w:val="fr-BE"/>
        </w:rPr>
      </w:pPr>
      <w:r>
        <w:rPr>
          <w:lang w:val="fr-BE"/>
        </w:rPr>
        <w:t>- l'amélioration de la qualité des soins, par l'amélioration de</w:t>
      </w:r>
      <w:r w:rsidR="00223690">
        <w:rPr>
          <w:lang w:val="fr-BE"/>
        </w:rPr>
        <w:t xml:space="preserve"> l'accès aux </w:t>
      </w:r>
      <w:r w:rsidR="00820C11">
        <w:rPr>
          <w:lang w:val="fr-BE"/>
        </w:rPr>
        <w:t xml:space="preserve">infrastructures </w:t>
      </w:r>
      <w:r w:rsidR="00223690">
        <w:rPr>
          <w:lang w:val="fr-BE"/>
        </w:rPr>
        <w:t xml:space="preserve">sanitaires de base </w:t>
      </w:r>
      <w:r>
        <w:rPr>
          <w:lang w:val="fr-BE"/>
        </w:rPr>
        <w:t>(</w:t>
      </w:r>
      <w:r w:rsidR="00820C11">
        <w:rPr>
          <w:lang w:val="fr-BE"/>
        </w:rPr>
        <w:t>construction de centres médicaux avec antenne chirurgicales dans les nouveaux districts sanitaires</w:t>
      </w:r>
      <w:r>
        <w:rPr>
          <w:lang w:val="fr-BE"/>
        </w:rPr>
        <w:t>) ;</w:t>
      </w:r>
      <w:r w:rsidR="00223690">
        <w:rPr>
          <w:lang w:val="fr-BE"/>
        </w:rPr>
        <w:t xml:space="preserve"> </w:t>
      </w:r>
      <w:r w:rsidR="00820C11">
        <w:rPr>
          <w:lang w:val="fr-BE"/>
        </w:rPr>
        <w:t xml:space="preserve"> </w:t>
      </w:r>
      <w:r w:rsidR="00223690">
        <w:rPr>
          <w:lang w:val="fr-BE"/>
        </w:rPr>
        <w:t xml:space="preserve">et l'acquisition des aliments thérapeutiques pour la malnutrition aigüe sévère. </w:t>
      </w:r>
    </w:p>
    <w:p w:rsidR="006048FE" w:rsidRDefault="006048FE" w:rsidP="0005335A">
      <w:pPr>
        <w:jc w:val="both"/>
        <w:rPr>
          <w:lang w:val="fr-BE"/>
        </w:rPr>
      </w:pPr>
      <w:r>
        <w:rPr>
          <w:lang w:val="fr-BE"/>
        </w:rPr>
        <w:t xml:space="preserve">- l'opérationnalisation de l'assurance maladie universelle, par le soutien aux lignes budgétaires qui garantissent le tiers paiement des soins maternels et infantiles et l'appui à l'opérationnalisation de la Caisse Nationale d'assurance maladie (CNAMU) </w:t>
      </w:r>
    </w:p>
    <w:p w:rsidR="00820C11" w:rsidRDefault="006048FE" w:rsidP="0005335A">
      <w:pPr>
        <w:jc w:val="both"/>
        <w:rPr>
          <w:lang w:val="fr-BE"/>
        </w:rPr>
      </w:pPr>
      <w:r>
        <w:rPr>
          <w:lang w:val="fr-BE"/>
        </w:rPr>
        <w:t>- le renforcement du leadership du Ministère de la santé, par l'</w:t>
      </w:r>
      <w:r w:rsidR="00223690">
        <w:rPr>
          <w:lang w:val="fr-BE"/>
        </w:rPr>
        <w:t>encourage</w:t>
      </w:r>
      <w:r>
        <w:rPr>
          <w:lang w:val="fr-BE"/>
        </w:rPr>
        <w:t>ment</w:t>
      </w:r>
      <w:r w:rsidR="00223690">
        <w:rPr>
          <w:lang w:val="fr-BE"/>
        </w:rPr>
        <w:t xml:space="preserve"> l'affectation de personnel qualifié dans les 3</w:t>
      </w:r>
      <w:r>
        <w:rPr>
          <w:lang w:val="fr-BE"/>
        </w:rPr>
        <w:t xml:space="preserve"> régions les plus défavorisées ainsi que par l'assainissement de la situation financière de la Centrale d'approvisionnement en médicaments essentiels </w:t>
      </w:r>
    </w:p>
    <w:p w:rsidR="006048FE" w:rsidRDefault="00223690" w:rsidP="0005335A">
      <w:pPr>
        <w:jc w:val="both"/>
        <w:rPr>
          <w:lang w:val="fr-BE"/>
        </w:rPr>
      </w:pPr>
      <w:r>
        <w:rPr>
          <w:lang w:val="fr-BE"/>
        </w:rPr>
        <w:lastRenderedPageBreak/>
        <w:t xml:space="preserve">L'appui complémentaire de ce programme </w:t>
      </w:r>
      <w:r w:rsidR="006048FE">
        <w:rPr>
          <w:lang w:val="fr-BE"/>
        </w:rPr>
        <w:t xml:space="preserve">PAPS 2 mixe tous les </w:t>
      </w:r>
      <w:r>
        <w:rPr>
          <w:lang w:val="fr-BE"/>
        </w:rPr>
        <w:t xml:space="preserve">instruments </w:t>
      </w:r>
      <w:r w:rsidR="006048FE">
        <w:rPr>
          <w:lang w:val="fr-BE"/>
        </w:rPr>
        <w:t>financiers de l'UE</w:t>
      </w:r>
      <w:r w:rsidR="007C53F4">
        <w:rPr>
          <w:lang w:val="fr-BE"/>
        </w:rPr>
        <w:t xml:space="preserve"> pour progresser vers la co</w:t>
      </w:r>
      <w:r>
        <w:rPr>
          <w:lang w:val="fr-BE"/>
        </w:rPr>
        <w:t xml:space="preserve">uverture universelle. Ceci comprend un appui au lancement de la caisse nationale de l'assurance maladie universelle,  la mise en place d'un dispositif de veille communautaire, </w:t>
      </w:r>
      <w:r w:rsidR="007C53F4">
        <w:rPr>
          <w:lang w:val="fr-BE"/>
        </w:rPr>
        <w:t xml:space="preserve"> la mise en place d'un dispositif </w:t>
      </w:r>
      <w:r w:rsidR="006048FE">
        <w:rPr>
          <w:lang w:val="fr-BE"/>
        </w:rPr>
        <w:t>visant à fournir</w:t>
      </w:r>
      <w:r w:rsidR="007C53F4">
        <w:rPr>
          <w:lang w:val="fr-BE"/>
        </w:rPr>
        <w:t xml:space="preserve"> des analyses sur des données sur l'efficacité et l'efficience des mesures prises par le gouvernement pour améliorer l'accès physique et financier et la qualité de l'offre des soins, un soutien technique et financier aux plans d'action axées sur les résultats des districts sanitaires de 2 régions  et un appui technique et financier à des réformes institutionnelles en faveur de la couverture sanitaire universelle.</w:t>
      </w:r>
      <w:r w:rsidR="003B3EC9">
        <w:rPr>
          <w:lang w:val="fr-BE"/>
        </w:rPr>
        <w:t xml:space="preserve"> </w:t>
      </w:r>
    </w:p>
    <w:p w:rsidR="00A87461" w:rsidRDefault="006048FE" w:rsidP="0005335A">
      <w:pPr>
        <w:jc w:val="both"/>
        <w:rPr>
          <w:lang w:val="fr-BE"/>
        </w:rPr>
      </w:pPr>
      <w:r w:rsidRPr="003E0AC3">
        <w:rPr>
          <w:noProof/>
          <w:lang w:eastAsia="en-GB"/>
        </w:rPr>
        <w:drawing>
          <wp:anchor distT="0" distB="0" distL="114300" distR="114300" simplePos="0" relativeHeight="251659264" behindDoc="0" locked="0" layoutInCell="1" allowOverlap="0" wp14:anchorId="606602AF" wp14:editId="4481E52A">
            <wp:simplePos x="0" y="0"/>
            <wp:positionH relativeFrom="column">
              <wp:posOffset>1936750</wp:posOffset>
            </wp:positionH>
            <wp:positionV relativeFrom="paragraph">
              <wp:posOffset>27940</wp:posOffset>
            </wp:positionV>
            <wp:extent cx="4220845" cy="2773680"/>
            <wp:effectExtent l="0" t="0" r="8255" b="7620"/>
            <wp:wrapSquare wrapText="lef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20845" cy="27736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53F4">
        <w:rPr>
          <w:lang w:val="fr-BE"/>
        </w:rPr>
        <w:t xml:space="preserve">Au </w:t>
      </w:r>
      <w:r>
        <w:rPr>
          <w:lang w:val="fr-BE"/>
        </w:rPr>
        <w:t>regard des leçons apprises des précédentes interventions</w:t>
      </w:r>
      <w:r w:rsidR="007C53F4">
        <w:rPr>
          <w:lang w:val="fr-BE"/>
        </w:rPr>
        <w:t xml:space="preserve">, </w:t>
      </w:r>
      <w:r>
        <w:rPr>
          <w:lang w:val="fr-BE"/>
        </w:rPr>
        <w:t xml:space="preserve">la stratégie d'intervention du </w:t>
      </w:r>
      <w:r w:rsidR="007C53F4">
        <w:rPr>
          <w:lang w:val="fr-BE"/>
        </w:rPr>
        <w:t xml:space="preserve">PAPS2 </w:t>
      </w:r>
      <w:r>
        <w:rPr>
          <w:lang w:val="fr-BE"/>
        </w:rPr>
        <w:t>repose sur le système des</w:t>
      </w:r>
      <w:r w:rsidR="00A87461">
        <w:rPr>
          <w:lang w:val="fr-BE"/>
        </w:rPr>
        <w:t xml:space="preserve"> "mesures" qui fournissent un produit vérifiable en termes de réforme ou de bén</w:t>
      </w:r>
      <w:r>
        <w:rPr>
          <w:lang w:val="fr-BE"/>
        </w:rPr>
        <w:t>éfice dans un délai programmable</w:t>
      </w:r>
      <w:r w:rsidR="00A87461">
        <w:rPr>
          <w:lang w:val="fr-BE"/>
        </w:rPr>
        <w:t xml:space="preserve">. Ceci oblige </w:t>
      </w:r>
      <w:r>
        <w:rPr>
          <w:lang w:val="fr-BE"/>
        </w:rPr>
        <w:t>l'ensemble des parties prenantes</w:t>
      </w:r>
      <w:r w:rsidR="00A87461">
        <w:rPr>
          <w:lang w:val="fr-BE"/>
        </w:rPr>
        <w:t xml:space="preserve"> à concevoir une feuille de route (carte de processus) sur la mesure</w:t>
      </w:r>
      <w:r>
        <w:rPr>
          <w:lang w:val="fr-BE"/>
        </w:rPr>
        <w:t>/réforme</w:t>
      </w:r>
      <w:r w:rsidR="00A87461">
        <w:rPr>
          <w:lang w:val="fr-BE"/>
        </w:rPr>
        <w:t xml:space="preserve"> en distinguant les processus de gouvernance, de réalisation et de soutien. </w:t>
      </w:r>
    </w:p>
    <w:p w:rsidR="007C53F4" w:rsidRPr="003B3EC9" w:rsidRDefault="00A87461" w:rsidP="00D9603D">
      <w:pPr>
        <w:pStyle w:val="Heading1"/>
        <w:rPr>
          <w:lang w:val="fr-BE"/>
        </w:rPr>
      </w:pPr>
      <w:r w:rsidRPr="003B3EC9">
        <w:rPr>
          <w:lang w:val="fr-BE"/>
        </w:rPr>
        <w:t xml:space="preserve">3. Vers une </w:t>
      </w:r>
      <w:r w:rsidR="006F57FB" w:rsidRPr="003B3EC9">
        <w:rPr>
          <w:lang w:val="fr-BE"/>
        </w:rPr>
        <w:t xml:space="preserve">meilleure </w:t>
      </w:r>
      <w:r w:rsidRPr="003B3EC9">
        <w:rPr>
          <w:lang w:val="fr-BE"/>
        </w:rPr>
        <w:t>prise en compte des déterminants de la santé</w:t>
      </w:r>
    </w:p>
    <w:p w:rsidR="00A87461" w:rsidRDefault="002C7C94" w:rsidP="0005335A">
      <w:pPr>
        <w:jc w:val="both"/>
        <w:rPr>
          <w:lang w:val="fr-BE"/>
        </w:rPr>
      </w:pPr>
      <w:r>
        <w:rPr>
          <w:noProof/>
          <w:lang w:eastAsia="en-GB"/>
        </w:rPr>
        <w:drawing>
          <wp:anchor distT="0" distB="0" distL="114300" distR="114300" simplePos="0" relativeHeight="251660288" behindDoc="1" locked="0" layoutInCell="1" allowOverlap="0" wp14:anchorId="0D3B06F2" wp14:editId="2C862DC9">
            <wp:simplePos x="0" y="0"/>
            <wp:positionH relativeFrom="column">
              <wp:posOffset>2463165</wp:posOffset>
            </wp:positionH>
            <wp:positionV relativeFrom="paragraph">
              <wp:posOffset>39370</wp:posOffset>
            </wp:positionV>
            <wp:extent cx="3594735" cy="3043555"/>
            <wp:effectExtent l="0" t="0" r="5715" b="4445"/>
            <wp:wrapTight wrapText="left">
              <wp:wrapPolygon edited="0">
                <wp:start x="0" y="0"/>
                <wp:lineTo x="0" y="21496"/>
                <wp:lineTo x="21520" y="21496"/>
                <wp:lineTo x="21520" y="0"/>
                <wp:lineTo x="0" y="0"/>
              </wp:wrapPolygon>
            </wp:wrapTight>
            <wp:docPr id="2" name="Picture 2" descr="\\eeas.europa.eu\OUA\home\calleba\Desktop\riskfacto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eas.europa.eu\OUA\home\calleba\Desktop\riskfactors.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94735" cy="30435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7461">
        <w:rPr>
          <w:lang w:val="fr-BE"/>
        </w:rPr>
        <w:t xml:space="preserve">Dans sa réforme, </w:t>
      </w:r>
      <w:r w:rsidR="006F57FB">
        <w:rPr>
          <w:lang w:val="fr-BE"/>
        </w:rPr>
        <w:t xml:space="preserve">le ministère de la santé insiste sur une meilleure prise en compte de la prévention de la maladie. Au Burkina Faso, les facteurs de risque </w:t>
      </w:r>
      <w:r>
        <w:rPr>
          <w:lang w:val="fr-BE"/>
        </w:rPr>
        <w:t>environnementaux  et comportementaux ont un poids important dans les infections respiratoires, diarrhée, naissances préc</w:t>
      </w:r>
      <w:r w:rsidR="007C5CF5">
        <w:rPr>
          <w:lang w:val="fr-BE"/>
        </w:rPr>
        <w:t xml:space="preserve">oces, anémie, malnutrition etc. L'UE </w:t>
      </w:r>
      <w:r w:rsidR="003B3EC9">
        <w:rPr>
          <w:lang w:val="fr-BE"/>
        </w:rPr>
        <w:t xml:space="preserve">y </w:t>
      </w:r>
      <w:r w:rsidR="007C5CF5">
        <w:rPr>
          <w:lang w:val="fr-BE"/>
        </w:rPr>
        <w:t>prête de plus en plus d'attention</w:t>
      </w:r>
      <w:r w:rsidR="00D63538">
        <w:rPr>
          <w:lang w:val="fr-BE"/>
        </w:rPr>
        <w:t xml:space="preserve">. </w:t>
      </w:r>
      <w:r w:rsidR="003B3EC9">
        <w:rPr>
          <w:lang w:val="fr-BE"/>
        </w:rPr>
        <w:t>En effet, l</w:t>
      </w:r>
      <w:r w:rsidR="00D63538">
        <w:rPr>
          <w:lang w:val="fr-BE"/>
        </w:rPr>
        <w:t xml:space="preserve">es bonnes pratiques d'alimentation, la prévention des grossesses non désirées, l'assainissement font partie des engagements lancés. Autant que possible, les communes sont impliquées dans </w:t>
      </w:r>
      <w:r w:rsidR="003B3EC9">
        <w:rPr>
          <w:lang w:val="fr-BE"/>
        </w:rPr>
        <w:t>cette approche multisectorielle.</w:t>
      </w:r>
    </w:p>
    <w:p w:rsidR="003B3EC9" w:rsidRPr="00D017DD" w:rsidRDefault="003B3EC9" w:rsidP="0005335A">
      <w:pPr>
        <w:jc w:val="both"/>
        <w:rPr>
          <w:lang w:val="fr-BE"/>
        </w:rPr>
      </w:pPr>
    </w:p>
    <w:sectPr w:rsidR="003B3EC9" w:rsidRPr="00D017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017DD"/>
    <w:rsid w:val="000343D2"/>
    <w:rsid w:val="0005335A"/>
    <w:rsid w:val="00223690"/>
    <w:rsid w:val="002C7C94"/>
    <w:rsid w:val="003B3EC9"/>
    <w:rsid w:val="003E0AC3"/>
    <w:rsid w:val="006048FE"/>
    <w:rsid w:val="00653249"/>
    <w:rsid w:val="00677B7E"/>
    <w:rsid w:val="006E1F42"/>
    <w:rsid w:val="006F57FB"/>
    <w:rsid w:val="0071071A"/>
    <w:rsid w:val="007C53F4"/>
    <w:rsid w:val="007C5CF5"/>
    <w:rsid w:val="00820C11"/>
    <w:rsid w:val="00911D5E"/>
    <w:rsid w:val="00A87461"/>
    <w:rsid w:val="00D017DD"/>
    <w:rsid w:val="00D47B47"/>
    <w:rsid w:val="00D63538"/>
    <w:rsid w:val="00D9603D"/>
    <w:rsid w:val="00DA52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960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0A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0AC3"/>
    <w:rPr>
      <w:rFonts w:ascii="Tahoma" w:hAnsi="Tahoma" w:cs="Tahoma"/>
      <w:sz w:val="16"/>
      <w:szCs w:val="16"/>
    </w:rPr>
  </w:style>
  <w:style w:type="paragraph" w:styleId="Title">
    <w:name w:val="Title"/>
    <w:basedOn w:val="Normal"/>
    <w:next w:val="Normal"/>
    <w:link w:val="TitleChar"/>
    <w:uiPriority w:val="10"/>
    <w:qFormat/>
    <w:rsid w:val="00D9603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9603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D9603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960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0A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0AC3"/>
    <w:rPr>
      <w:rFonts w:ascii="Tahoma" w:hAnsi="Tahoma" w:cs="Tahoma"/>
      <w:sz w:val="16"/>
      <w:szCs w:val="16"/>
    </w:rPr>
  </w:style>
  <w:style w:type="paragraph" w:styleId="Title">
    <w:name w:val="Title"/>
    <w:basedOn w:val="Normal"/>
    <w:next w:val="Normal"/>
    <w:link w:val="TitleChar"/>
    <w:uiPriority w:val="10"/>
    <w:qFormat/>
    <w:rsid w:val="00D9603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9603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D9603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emf"/><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661</Words>
  <Characters>3774</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4427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CALLEWAERT Bart (EEAS-OUAGADOUGOU)</dc:creator>
  <cp:lastModifiedBy>TRAORE Fatoumata (EEAS-OUAGADOUGOU)</cp:lastModifiedBy>
  <cp:revision>2</cp:revision>
  <dcterms:created xsi:type="dcterms:W3CDTF">2018-06-05T11:40:00Z</dcterms:created>
  <dcterms:modified xsi:type="dcterms:W3CDTF">2018-06-05T11:40:00Z</dcterms:modified>
</cp:coreProperties>
</file>